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英吉沙县环境保护局(本级)的本部门中，行政单位 1 家，参公管理事业单位1家,事业单位1 家</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英吉沙县环境保护局(本级)编制数12人，实有人数16人，其中：在职12人，退休4人。</w:t>
      </w:r>
      <w:r>
        <w:rPr>
          <w:rFonts w:hint="eastAsia" w:ascii="仿宋" w:hAnsi="仿宋" w:eastAsia="仿宋"/>
          <w:bCs/>
          <w:color w:val="auto"/>
          <w:spacing w:val="-4"/>
          <w:sz w:val="32"/>
          <w:szCs w:val="32"/>
          <w:lang w:val="en-US" w:eastAsia="zh-CN"/>
        </w:rPr>
        <w:t>主要</w:t>
      </w:r>
      <w:r>
        <w:rPr>
          <w:rFonts w:hint="eastAsia" w:ascii="仿宋" w:hAnsi="仿宋" w:eastAsia="仿宋"/>
          <w:bCs/>
          <w:color w:val="auto"/>
          <w:spacing w:val="-4"/>
          <w:sz w:val="32"/>
          <w:szCs w:val="32"/>
        </w:rPr>
        <w:t>落实国家环境保护基本制度</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负责重大环境问题的统筹协调和监督管理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组织协调重大环境污染事故和生态破坏事件的调查处理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协调解决有关跨区域环境污染纠纷，统筹协调英吉沙县流域、区域污染防治工作</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承担落实英吉沙县减排目标的责任</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承担从源头上预防、控制环境污染和环境破坏的责任。</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根据要求，我县自2017年起需开展为期三年的第二次全国污染源普查工作。根据</w:t>
      </w:r>
      <w:bookmarkStart w:id="0" w:name="_GoBack"/>
      <w:bookmarkEnd w:id="0"/>
      <w:r>
        <w:rPr>
          <w:rFonts w:hint="eastAsia" w:ascii="仿宋" w:hAnsi="仿宋" w:eastAsia="仿宋"/>
          <w:bCs/>
          <w:color w:val="auto"/>
          <w:spacing w:val="-4"/>
          <w:sz w:val="32"/>
          <w:szCs w:val="32"/>
        </w:rPr>
        <w:t>文件精神和地区相关要求，将我县第二次全国污染源普查工作委托于第三方机构开展</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该项目的实施有助于我县完成2018年阶段性普查工作。</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val="en-US" w:eastAsia="zh-CN"/>
        </w:rPr>
        <w:t>新增</w:t>
      </w:r>
      <w:r>
        <w:rPr>
          <w:rFonts w:hint="eastAsia" w:ascii="仿宋" w:hAnsi="仿宋" w:eastAsia="仿宋"/>
          <w:bCs/>
          <w:color w:val="auto"/>
          <w:spacing w:val="-4"/>
          <w:sz w:val="32"/>
          <w:szCs w:val="32"/>
        </w:rPr>
        <w:t>项目</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通过</w:t>
      </w:r>
      <w:r>
        <w:rPr>
          <w:rFonts w:hint="eastAsia" w:ascii="仿宋" w:hAnsi="仿宋" w:eastAsia="仿宋"/>
          <w:bCs/>
          <w:color w:val="auto"/>
          <w:spacing w:val="-4"/>
          <w:sz w:val="32"/>
          <w:szCs w:val="32"/>
          <w:lang w:val="en-US" w:eastAsia="zh-CN"/>
        </w:rPr>
        <w:t>开展</w:t>
      </w:r>
      <w:r>
        <w:rPr>
          <w:rFonts w:hint="eastAsia" w:ascii="仿宋" w:hAnsi="仿宋" w:eastAsia="仿宋"/>
          <w:bCs/>
          <w:color w:val="auto"/>
          <w:spacing w:val="-4"/>
          <w:sz w:val="32"/>
          <w:szCs w:val="32"/>
        </w:rPr>
        <w:t>第二次全国污染源普查工作</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全面掌握我县水、大气、土壤等各项污染源。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预计需要资金</w:t>
      </w:r>
      <w:r>
        <w:rPr>
          <w:rFonts w:hint="eastAsia" w:ascii="仿宋" w:hAnsi="仿宋" w:eastAsia="仿宋"/>
          <w:bCs/>
          <w:color w:val="000000" w:themeColor="text1"/>
          <w:spacing w:val="-4"/>
          <w:sz w:val="32"/>
          <w:szCs w:val="32"/>
          <w:lang w:val="en-US" w:eastAsia="zh-CN"/>
        </w:rPr>
        <w:t>41.7</w:t>
      </w:r>
      <w:r>
        <w:rPr>
          <w:rFonts w:hint="eastAsia" w:ascii="仿宋" w:hAnsi="仿宋" w:eastAsia="仿宋"/>
          <w:bCs/>
          <w:color w:val="000000" w:themeColor="text1"/>
          <w:spacing w:val="-4"/>
          <w:sz w:val="32"/>
          <w:szCs w:val="32"/>
        </w:rPr>
        <w:t>万元，计划从县环保局环保事务管理资金（返还排污费）中进行支出</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val="en-US" w:eastAsia="zh-CN"/>
        </w:rPr>
        <w:t>2018年</w:t>
      </w:r>
      <w:r>
        <w:rPr>
          <w:rFonts w:hint="eastAsia" w:ascii="仿宋" w:hAnsi="仿宋" w:eastAsia="仿宋"/>
          <w:bCs/>
          <w:color w:val="000000" w:themeColor="text1"/>
          <w:spacing w:val="-4"/>
          <w:sz w:val="32"/>
          <w:szCs w:val="32"/>
        </w:rPr>
        <w:t>英吉沙县第二次全国污染源普查项目</w:t>
      </w:r>
      <w:r>
        <w:rPr>
          <w:rFonts w:hint="eastAsia" w:ascii="仿宋" w:hAnsi="仿宋" w:eastAsia="仿宋"/>
          <w:bCs/>
          <w:color w:val="000000" w:themeColor="text1"/>
          <w:spacing w:val="-4"/>
          <w:sz w:val="32"/>
          <w:szCs w:val="32"/>
          <w:lang w:val="en-US" w:eastAsia="zh-CN"/>
        </w:rPr>
        <w:t>52.13</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val="en-US" w:eastAsia="zh-CN"/>
        </w:rPr>
        <w:t>预计</w:t>
      </w:r>
      <w:r>
        <w:rPr>
          <w:rFonts w:hint="eastAsia" w:ascii="仿宋" w:hAnsi="仿宋" w:eastAsia="仿宋"/>
          <w:bCs/>
          <w:color w:val="000000" w:themeColor="text1"/>
          <w:spacing w:val="-4"/>
          <w:sz w:val="32"/>
          <w:szCs w:val="32"/>
        </w:rPr>
        <w:t>支付资金</w:t>
      </w:r>
      <w:r>
        <w:rPr>
          <w:rFonts w:hint="eastAsia" w:ascii="仿宋" w:hAnsi="仿宋" w:eastAsia="仿宋"/>
          <w:bCs/>
          <w:color w:val="000000" w:themeColor="text1"/>
          <w:spacing w:val="-4"/>
          <w:sz w:val="32"/>
          <w:szCs w:val="32"/>
          <w:lang w:val="en-US" w:eastAsia="zh-CN"/>
        </w:rPr>
        <w:t>52.13</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项目资金主要用于支付</w:t>
      </w:r>
      <w:r>
        <w:rPr>
          <w:rFonts w:hint="eastAsia" w:ascii="仿宋" w:hAnsi="仿宋" w:eastAsia="仿宋"/>
          <w:bCs/>
          <w:color w:val="auto"/>
          <w:spacing w:val="-4"/>
          <w:sz w:val="32"/>
          <w:szCs w:val="32"/>
          <w:lang w:val="en-US" w:eastAsia="zh-CN"/>
        </w:rPr>
        <w:t>第三方机构日常办公、培训、质量控制、清查普查现场、技术报告编制等费用。</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9"/>
          <w:rFonts w:hint="eastAsia" w:ascii="仿宋" w:hAnsi="仿宋" w:eastAsia="仿宋"/>
          <w:b w:val="0"/>
          <w:color w:val="auto"/>
          <w:spacing w:val="-4"/>
          <w:sz w:val="32"/>
          <w:szCs w:val="32"/>
          <w:lang w:eastAsia="zh-CN"/>
        </w:rPr>
      </w:pPr>
      <w:r>
        <w:rPr>
          <w:rStyle w:val="19"/>
          <w:rFonts w:hint="eastAsia" w:ascii="仿宋" w:hAnsi="仿宋" w:eastAsia="仿宋"/>
          <w:b w:val="0"/>
          <w:color w:val="auto"/>
          <w:spacing w:val="-4"/>
          <w:sz w:val="32"/>
          <w:szCs w:val="32"/>
          <w:lang w:val="en-US" w:eastAsia="zh-CN"/>
        </w:rPr>
        <w:t>本</w:t>
      </w:r>
      <w:r>
        <w:rPr>
          <w:rStyle w:val="19"/>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lang w:val="en-US" w:eastAsia="zh-CN"/>
        </w:rPr>
        <w:t>项目支出符合相关财务管理制度，</w:t>
      </w:r>
      <w:r>
        <w:rPr>
          <w:rFonts w:hint="eastAsia" w:ascii="仿宋" w:hAnsi="仿宋" w:eastAsia="仿宋"/>
          <w:bCs/>
          <w:color w:val="auto"/>
          <w:spacing w:val="-4"/>
          <w:sz w:val="32"/>
          <w:szCs w:val="32"/>
        </w:rPr>
        <w:t>包括财务收支审批</w:t>
      </w:r>
      <w:r>
        <w:rPr>
          <w:rFonts w:hint="eastAsia" w:ascii="仿宋" w:hAnsi="仿宋" w:eastAsia="仿宋"/>
          <w:bCs/>
          <w:color w:val="auto"/>
          <w:spacing w:val="-4"/>
          <w:sz w:val="32"/>
          <w:szCs w:val="32"/>
          <w:lang w:val="en-US" w:eastAsia="zh-CN"/>
        </w:rPr>
        <w:t>等</w:t>
      </w:r>
      <w:r>
        <w:rPr>
          <w:rFonts w:hint="eastAsia" w:ascii="仿宋" w:hAnsi="仿宋" w:eastAsia="仿宋"/>
          <w:bCs/>
          <w:color w:val="auto"/>
          <w:spacing w:val="-4"/>
          <w:sz w:val="32"/>
          <w:szCs w:val="32"/>
        </w:rPr>
        <w:t>制度</w:t>
      </w:r>
      <w:r>
        <w:rPr>
          <w:rFonts w:hint="eastAsia" w:ascii="仿宋" w:hAnsi="仿宋" w:eastAsia="仿宋"/>
          <w:bCs/>
          <w:color w:val="auto"/>
          <w:spacing w:val="-4"/>
          <w:sz w:val="32"/>
          <w:szCs w:val="32"/>
          <w:lang w:val="en-US" w:eastAsia="zh-CN"/>
        </w:rPr>
        <w:t>以及</w:t>
      </w:r>
      <w:r>
        <w:rPr>
          <w:rFonts w:hint="eastAsia" w:ascii="仿宋" w:hAnsi="仿宋" w:eastAsia="仿宋"/>
          <w:bCs/>
          <w:color w:val="auto"/>
          <w:spacing w:val="-4"/>
          <w:sz w:val="32"/>
          <w:szCs w:val="32"/>
        </w:rPr>
        <w:t>相应的项目资金管理办法</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项目资金管理办法符合国家财经法规和财务管理制度以及有关资金管理办法的规定</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资金的拨付有完整的审批程序和手续</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不存在</w:t>
      </w:r>
      <w:r>
        <w:rPr>
          <w:rFonts w:hint="eastAsia" w:ascii="仿宋" w:hAnsi="仿宋" w:eastAsia="仿宋"/>
          <w:bCs/>
          <w:color w:val="auto"/>
          <w:spacing w:val="-4"/>
          <w:sz w:val="32"/>
          <w:szCs w:val="32"/>
        </w:rPr>
        <w:t>存在截留、挤占、挪用、虚列支出等情况</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该项目严格按照采购规定、程序办理政府采购手续，不存在“应当以公开招标方式采购的货物或服务化整为零，或者以其他任何方式规避公开招标”</w:t>
      </w:r>
      <w:r>
        <w:rPr>
          <w:rStyle w:val="19"/>
          <w:rFonts w:hint="eastAsia" w:ascii="仿宋" w:hAnsi="仿宋" w:eastAsia="仿宋"/>
          <w:b w:val="0"/>
          <w:color w:val="auto"/>
          <w:spacing w:val="-4"/>
          <w:sz w:val="32"/>
          <w:szCs w:val="32"/>
          <w:lang w:val="en-US" w:eastAsia="zh-CN"/>
        </w:rPr>
        <w:t>的情况，</w:t>
      </w:r>
      <w:r>
        <w:rPr>
          <w:rStyle w:val="19"/>
          <w:rFonts w:hint="eastAsia" w:ascii="仿宋" w:hAnsi="仿宋" w:eastAsia="仿宋"/>
          <w:b w:val="0"/>
          <w:color w:val="auto"/>
          <w:spacing w:val="-4"/>
          <w:sz w:val="32"/>
          <w:szCs w:val="32"/>
        </w:rPr>
        <w:t>也不存在围标、串标的行为。</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9"/>
          <w:rFonts w:hint="eastAsia" w:ascii="仿宋" w:hAnsi="仿宋" w:eastAsia="仿宋"/>
          <w:b w:val="0"/>
          <w:color w:val="auto"/>
          <w:spacing w:val="-4"/>
          <w:sz w:val="32"/>
          <w:szCs w:val="32"/>
          <w:lang w:val="en-US" w:eastAsia="zh-CN"/>
        </w:rPr>
      </w:pPr>
      <w:r>
        <w:rPr>
          <w:rStyle w:val="19"/>
          <w:rFonts w:hint="eastAsia" w:ascii="仿宋" w:hAnsi="仿宋" w:eastAsia="仿宋"/>
          <w:b w:val="0"/>
          <w:color w:val="auto"/>
          <w:spacing w:val="-4"/>
          <w:sz w:val="32"/>
          <w:szCs w:val="32"/>
        </w:rPr>
        <w:t>为保证项目质量和成本控制，项目实施完成后，由本项目相关人员于</w:t>
      </w:r>
      <w:r>
        <w:rPr>
          <w:rStyle w:val="19"/>
          <w:rFonts w:hint="eastAsia" w:ascii="仿宋" w:hAnsi="仿宋" w:eastAsia="仿宋"/>
          <w:b w:val="0"/>
          <w:color w:val="auto"/>
          <w:spacing w:val="-4"/>
          <w:sz w:val="32"/>
          <w:szCs w:val="32"/>
          <w:lang w:val="en-US" w:eastAsia="zh-CN"/>
        </w:rPr>
        <w:t>2018</w:t>
      </w:r>
      <w:r>
        <w:rPr>
          <w:rStyle w:val="19"/>
          <w:rFonts w:hint="eastAsia" w:ascii="仿宋" w:hAnsi="仿宋" w:eastAsia="仿宋"/>
          <w:b w:val="0"/>
          <w:color w:val="auto"/>
          <w:spacing w:val="-4"/>
          <w:sz w:val="32"/>
          <w:szCs w:val="32"/>
        </w:rPr>
        <w:t>年</w:t>
      </w:r>
      <w:r>
        <w:rPr>
          <w:rStyle w:val="19"/>
          <w:rFonts w:hint="eastAsia" w:ascii="仿宋" w:hAnsi="仿宋" w:eastAsia="仿宋"/>
          <w:b w:val="0"/>
          <w:color w:val="auto"/>
          <w:spacing w:val="-4"/>
          <w:sz w:val="32"/>
          <w:szCs w:val="32"/>
          <w:lang w:val="en-US" w:eastAsia="zh-CN"/>
        </w:rPr>
        <w:t>12</w:t>
      </w:r>
      <w:r>
        <w:rPr>
          <w:rStyle w:val="19"/>
          <w:rFonts w:hint="eastAsia" w:ascii="仿宋" w:hAnsi="仿宋" w:eastAsia="仿宋"/>
          <w:b w:val="0"/>
          <w:color w:val="auto"/>
          <w:spacing w:val="-4"/>
          <w:sz w:val="32"/>
          <w:szCs w:val="32"/>
        </w:rPr>
        <w:t>月</w:t>
      </w:r>
      <w:r>
        <w:rPr>
          <w:rStyle w:val="19"/>
          <w:rFonts w:hint="eastAsia" w:ascii="仿宋" w:hAnsi="仿宋" w:eastAsia="仿宋"/>
          <w:b w:val="0"/>
          <w:color w:val="auto"/>
          <w:spacing w:val="-4"/>
          <w:sz w:val="32"/>
          <w:szCs w:val="32"/>
          <w:lang w:val="en-US" w:eastAsia="zh-CN"/>
        </w:rPr>
        <w:t>30</w:t>
      </w:r>
      <w:r>
        <w:rPr>
          <w:rStyle w:val="19"/>
          <w:rFonts w:hint="eastAsia" w:ascii="仿宋" w:hAnsi="仿宋" w:eastAsia="仿宋"/>
          <w:b w:val="0"/>
          <w:color w:val="auto"/>
          <w:spacing w:val="-4"/>
          <w:sz w:val="32"/>
          <w:szCs w:val="32"/>
        </w:rPr>
        <w:t>日完成检查验收，检查验收合格后按合同规定支付款项。</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Style w:val="19"/>
          <w:rFonts w:ascii="仿宋" w:hAnsi="仿宋" w:eastAsia="仿宋"/>
          <w:b w:val="0"/>
          <w:color w:val="FF0000"/>
          <w:spacing w:val="-4"/>
          <w:sz w:val="32"/>
          <w:szCs w:val="32"/>
        </w:rPr>
      </w:pPr>
      <w:r>
        <w:rPr>
          <w:rFonts w:hint="eastAsia" w:ascii="仿宋" w:hAnsi="仿宋" w:eastAsia="仿宋"/>
          <w:bCs/>
          <w:color w:val="auto"/>
          <w:spacing w:val="-4"/>
          <w:sz w:val="32"/>
          <w:szCs w:val="32"/>
        </w:rPr>
        <w:t>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三</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八</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十九</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十九</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效率性：调查对象覆盖率</w:t>
      </w:r>
      <w:r>
        <w:rPr>
          <w:rStyle w:val="19"/>
          <w:rFonts w:hint="eastAsia" w:ascii="仿宋" w:hAnsi="仿宋" w:eastAsia="仿宋"/>
          <w:b w:val="0"/>
          <w:color w:val="auto"/>
          <w:spacing w:val="-4"/>
          <w:sz w:val="32"/>
          <w:szCs w:val="32"/>
          <w:lang w:val="en-US" w:eastAsia="zh-CN"/>
        </w:rPr>
        <w:t>100%，普查系统录入核对完成率100%</w:t>
      </w:r>
      <w:r>
        <w:rPr>
          <w:rStyle w:val="19"/>
          <w:rFonts w:hint="eastAsia" w:ascii="仿宋" w:hAnsi="仿宋" w:eastAsia="仿宋"/>
          <w:b w:val="0"/>
          <w:color w:val="auto"/>
          <w:spacing w:val="-4"/>
          <w:sz w:val="32"/>
          <w:szCs w:val="32"/>
        </w:rPr>
        <w:t>。</w:t>
      </w:r>
    </w:p>
    <w:p>
      <w:pPr>
        <w:adjustRightInd w:val="0"/>
        <w:snapToGrid w:val="0"/>
        <w:spacing w:line="560" w:lineRule="exact"/>
        <w:ind w:firstLine="624" w:firstLineChars="200"/>
        <w:rPr>
          <w:rFonts w:ascii="仿宋" w:hAnsi="仿宋" w:eastAsia="仿宋"/>
          <w:bCs/>
          <w:color w:val="auto"/>
          <w:spacing w:val="-4"/>
          <w:sz w:val="32"/>
          <w:szCs w:val="32"/>
        </w:rPr>
      </w:pPr>
      <w:r>
        <w:rPr>
          <w:rStyle w:val="19"/>
          <w:rFonts w:hint="eastAsia" w:ascii="仿宋" w:hAnsi="仿宋" w:eastAsia="仿宋"/>
          <w:b w:val="0"/>
          <w:color w:val="auto"/>
          <w:spacing w:val="-4"/>
          <w:sz w:val="32"/>
          <w:szCs w:val="32"/>
        </w:rPr>
        <w:t>效益性：</w:t>
      </w:r>
      <w:r>
        <w:rPr>
          <w:rStyle w:val="19"/>
          <w:rFonts w:hint="eastAsia" w:ascii="仿宋" w:hAnsi="仿宋" w:eastAsia="仿宋"/>
          <w:b w:val="0"/>
          <w:color w:val="auto"/>
          <w:spacing w:val="-4"/>
          <w:sz w:val="32"/>
          <w:szCs w:val="32"/>
          <w:lang w:val="en-US" w:eastAsia="zh-CN"/>
        </w:rPr>
        <w:t>了解掌握全县各类污染源情况，为打好污染防治攻坚战，做到底数明，情况清。</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第二次全国污染源普查</w:t>
      </w:r>
      <w:r>
        <w:rPr>
          <w:rFonts w:hint="eastAsia" w:ascii="仿宋" w:hAnsi="仿宋" w:eastAsia="仿宋"/>
          <w:bCs/>
          <w:color w:val="auto"/>
          <w:spacing w:val="-4"/>
          <w:sz w:val="32"/>
          <w:szCs w:val="32"/>
          <w:lang w:val="en-US" w:eastAsia="zh-CN"/>
        </w:rPr>
        <w:t>按照国家、自治区、地区安排持续三年，下阶段进入成果分析、质量控制等具体环节。</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kern w:val="2"/>
          <w:sz w:val="32"/>
          <w:szCs w:val="32"/>
        </w:rPr>
      </w:pPr>
      <w:r>
        <w:rPr>
          <w:rFonts w:hint="eastAsia" w:ascii="仿宋" w:hAnsi="仿宋" w:eastAsia="仿宋"/>
          <w:bCs/>
          <w:spacing w:val="-4"/>
          <w:sz w:val="32"/>
          <w:szCs w:val="32"/>
        </w:rPr>
        <w:t>1、</w:t>
      </w:r>
      <w:r>
        <w:rPr>
          <w:rFonts w:hint="eastAsia" w:ascii="楷体_GB2312" w:hAnsi="楷体_GB2312" w:eastAsia="楷体_GB2312" w:cs="楷体_GB2312"/>
          <w:kern w:val="2"/>
          <w:sz w:val="32"/>
          <w:szCs w:val="32"/>
          <w:lang w:val="en-US" w:eastAsia="zh-CN"/>
        </w:rPr>
        <w:t>实施过程中好的经验总结</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_GB2312" w:hAnsi="仿宋_GB2312" w:eastAsia="仿宋_GB2312" w:cs="仿宋_GB2312"/>
          <w:color w:val="FF0000"/>
          <w:kern w:val="2"/>
          <w:sz w:val="32"/>
          <w:szCs w:val="32"/>
          <w:lang w:eastAsia="zh-CN"/>
        </w:rPr>
      </w:pPr>
      <w:r>
        <w:rPr>
          <w:rFonts w:hint="eastAsia" w:ascii="仿宋" w:hAnsi="仿宋" w:eastAsia="仿宋"/>
          <w:bCs/>
          <w:color w:val="auto"/>
          <w:spacing w:val="-4"/>
          <w:sz w:val="32"/>
          <w:szCs w:val="32"/>
          <w:lang w:val="en-US" w:eastAsia="zh-CN"/>
        </w:rPr>
        <w:t>严格采购、审批及资金拨付程序，整个过程严格按照采购规定、程序办理政府采购手续，坚决杜绝“应当以公开招标方式采购的货物或服务化整为零，或者以其他任何方式规避公开招标”的情况，以及围标、串标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2、项目实施过程中存在的问题及原因分析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_GB2312" w:hAnsi="仿宋_GB2312" w:eastAsia="仿宋_GB2312" w:cs="仿宋_GB2312"/>
          <w:i w:val="0"/>
          <w:iCs w:val="0"/>
          <w:color w:val="auto"/>
          <w:kern w:val="2"/>
          <w:sz w:val="32"/>
          <w:szCs w:val="32"/>
          <w:lang w:val="en-US" w:eastAsia="zh-CN"/>
        </w:rPr>
        <w:t>无。</w:t>
      </w:r>
      <w:r>
        <w:rPr>
          <w:rFonts w:hint="eastAsia" w:ascii="仿宋" w:hAnsi="仿宋" w:eastAsia="仿宋"/>
          <w:bCs/>
          <w:color w:val="auto"/>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楷体_GB2312" w:hAnsi="楷体_GB2312" w:eastAsia="楷体_GB2312" w:cs="楷体_GB2312"/>
          <w:color w:val="auto"/>
          <w:kern w:val="2"/>
          <w:sz w:val="32"/>
          <w:szCs w:val="32"/>
          <w:lang w:val="en-US" w:eastAsia="zh-CN"/>
        </w:rPr>
      </w:pPr>
      <w:r>
        <w:rPr>
          <w:rFonts w:hint="eastAsia" w:ascii="楷体_GB2312" w:hAnsi="楷体_GB2312" w:eastAsia="楷体_GB2312" w:cs="楷体_GB2312"/>
          <w:color w:val="auto"/>
          <w:kern w:val="2"/>
          <w:sz w:val="32"/>
          <w:szCs w:val="32"/>
          <w:lang w:val="en-US" w:eastAsia="zh-CN"/>
        </w:rPr>
        <w:t>3、对下一年度项目实施的改进意见或措施</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按照自治区、地区关于第二次全国污染源普查工作进程的统一安排，2018年我县第二次全国污染源普查工作需完成准备进入全面普查阶段。鉴于此次污染源普查涉及范围广，责任单位多，时间节点要求严，工作任务重，县环保局将进行全程监督，切实保障我县第二次全国污染源普查工作顺利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both"/>
        <w:textAlignment w:val="auto"/>
        <w:outlineLvl w:val="9"/>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color w:val="auto"/>
          <w:spacing w:val="-4"/>
          <w:sz w:val="32"/>
          <w:szCs w:val="32"/>
        </w:rPr>
        <w:t>本次评价通过实地调研方式，全面了解</w:t>
      </w:r>
      <w:r>
        <w:rPr>
          <w:rFonts w:hint="eastAsia" w:ascii="仿宋" w:hAnsi="仿宋" w:eastAsia="仿宋"/>
          <w:bCs/>
          <w:color w:val="auto"/>
          <w:spacing w:val="-4"/>
          <w:sz w:val="32"/>
          <w:szCs w:val="32"/>
        </w:rPr>
        <w:t>第二次全国污染源普查工作</w:t>
      </w:r>
      <w:r>
        <w:rPr>
          <w:rFonts w:hint="eastAsia" w:ascii="仿宋" w:hAnsi="仿宋" w:eastAsia="仿宋"/>
          <w:color w:val="auto"/>
          <w:spacing w:val="-4"/>
          <w:sz w:val="32"/>
          <w:szCs w:val="32"/>
        </w:rPr>
        <w:t>资金的使用效率和效果，项目管理过程规范，完成了预期绩效目标。同时，通过开展自我评价来总结经验和教训，为今后的开展提供参考建议。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color w:val="FF0000"/>
          <w:spacing w:val="-4"/>
          <w:sz w:val="32"/>
          <w:szCs w:val="32"/>
        </w:rPr>
        <w:sectPr>
          <w:footerReference r:id="rId3" w:type="default"/>
          <w:pgSz w:w="11906" w:h="16838"/>
          <w:pgMar w:top="1440" w:right="1800" w:bottom="1440" w:left="1800" w:header="851" w:footer="992" w:gutter="0"/>
          <w:cols w:space="425" w:num="1"/>
          <w:docGrid w:type="lines" w:linePitch="312" w:charSpace="0"/>
        </w:sectPr>
      </w:pPr>
      <w:r>
        <w:rPr>
          <w:rStyle w:val="19"/>
          <w:rFonts w:hint="eastAsia" w:ascii="仿宋" w:hAnsi="仿宋" w:eastAsia="仿宋"/>
          <w:color w:val="FF0000"/>
          <w:spacing w:val="-4"/>
          <w:sz w:val="32"/>
          <w:szCs w:val="32"/>
        </w:rPr>
        <w:t>上述黑色标题不得删减，可根据项目实际情况修改红色部分。</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附表填制说明（2018年12月18日）</w:t>
      </w:r>
    </w:p>
    <w:p>
      <w:pPr>
        <w:adjustRightInd w:val="0"/>
        <w:snapToGrid w:val="0"/>
        <w:spacing w:line="560" w:lineRule="exact"/>
        <w:ind w:firstLine="640" w:firstLineChars="200"/>
        <w:rPr>
          <w:bCs/>
          <w:sz w:val="32"/>
          <w:szCs w:val="32"/>
        </w:rPr>
      </w:pPr>
      <w:r>
        <w:rPr>
          <w:rFonts w:hint="eastAsia"/>
          <w:bCs/>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sz w:val="32"/>
          <w:szCs w:val="32"/>
        </w:rPr>
      </w:pPr>
      <w:r>
        <w:rPr>
          <w:rFonts w:hint="eastAsia"/>
          <w:bCs/>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sz w:val="32"/>
          <w:szCs w:val="32"/>
        </w:rPr>
      </w:pPr>
      <w:r>
        <w:rPr>
          <w:rFonts w:hint="eastAsia"/>
          <w:bCs/>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sz w:val="32"/>
          <w:szCs w:val="32"/>
        </w:rPr>
      </w:pPr>
      <w:r>
        <w:rPr>
          <w:rFonts w:hint="eastAsia"/>
          <w:bCs/>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sz w:val="32"/>
          <w:szCs w:val="32"/>
        </w:rPr>
      </w:pPr>
      <w:r>
        <w:rPr>
          <w:rFonts w:hint="eastAsia"/>
          <w:bCs/>
          <w:sz w:val="32"/>
          <w:szCs w:val="32"/>
        </w:rPr>
        <w:t>5.三级指标名称全部左对齐。</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6.</w:t>
      </w:r>
      <w:r>
        <w:rPr>
          <w:rFonts w:hint="eastAsia"/>
          <w:bCs/>
          <w:sz w:val="32"/>
          <w:szCs w:val="32"/>
        </w:rPr>
        <w:t>《部门预算项目支出绩效目标申报表》和《项目支出绩效目标自评表》</w:t>
      </w:r>
      <w:r>
        <w:rPr>
          <w:rFonts w:hint="eastAsia" w:ascii="仿宋" w:hAnsi="仿宋" w:eastAsia="仿宋"/>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7.</w:t>
      </w:r>
      <w:r>
        <w:rPr>
          <w:rFonts w:hint="eastAsia"/>
          <w:bCs/>
          <w:sz w:val="32"/>
          <w:szCs w:val="32"/>
        </w:rPr>
        <w:t xml:space="preserve"> 《部门预算项目支出绩效目标申报表》中的</w:t>
      </w:r>
      <w:r>
        <w:rPr>
          <w:rFonts w:hint="eastAsia" w:ascii="仿宋" w:hAnsi="仿宋" w:eastAsia="仿宋"/>
          <w:sz w:val="32"/>
          <w:szCs w:val="32"/>
        </w:rPr>
        <w:t>总体目标和《</w:t>
      </w:r>
      <w:r>
        <w:rPr>
          <w:rFonts w:hint="eastAsia"/>
          <w:bCs/>
          <w:sz w:val="32"/>
          <w:szCs w:val="32"/>
        </w:rPr>
        <w:t>项目支出绩效目标自评表》</w:t>
      </w:r>
      <w:r>
        <w:rPr>
          <w:rFonts w:hint="eastAsia" w:ascii="仿宋" w:hAnsi="仿宋" w:eastAsia="仿宋"/>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spacing w:val="-4"/>
          <w:sz w:val="32"/>
          <w:szCs w:val="32"/>
        </w:rPr>
      </w:pPr>
      <w:r>
        <w:rPr>
          <w:rFonts w:hint="eastAsia" w:ascii="仿宋" w:hAnsi="仿宋" w:eastAsia="仿宋"/>
          <w:sz w:val="32"/>
          <w:szCs w:val="32"/>
        </w:rPr>
        <w:t>10. 部门预算项目支出绩效目标表的申报时间统一为2017年12月10日-2017年12月30日，项目支出绩效目标自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6D62F72"/>
    <w:rsid w:val="0A5E51D5"/>
    <w:rsid w:val="1023329A"/>
    <w:rsid w:val="22786278"/>
    <w:rsid w:val="23183B4D"/>
    <w:rsid w:val="2780037F"/>
    <w:rsid w:val="30A2204B"/>
    <w:rsid w:val="32531533"/>
    <w:rsid w:val="339C2084"/>
    <w:rsid w:val="35CD2663"/>
    <w:rsid w:val="37C93D97"/>
    <w:rsid w:val="44B91843"/>
    <w:rsid w:val="5F743EA2"/>
    <w:rsid w:val="5FB72952"/>
    <w:rsid w:val="5FD515BB"/>
    <w:rsid w:val="66951722"/>
    <w:rsid w:val="755B2DFB"/>
    <w:rsid w:val="75B971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6</TotalTime>
  <ScaleCrop>false</ScaleCrop>
  <LinksUpToDate>false</LinksUpToDate>
  <CharactersWithSpaces>2449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2019-09-20T09:08:34Z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